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bookmarkStart w:id="2" w:name="_GoBack"/>
      <w:bookmarkEnd w:id="2"/>
    </w:p>
    <w:p>
      <w:pPr>
        <w:spacing w:line="580" w:lineRule="exact"/>
        <w:jc w:val="center"/>
        <w:rPr>
          <w:rFonts w:cs="黑体"/>
          <w:kern w:val="2"/>
          <w:sz w:val="44"/>
          <w:szCs w:val="44"/>
          <w:lang w:val="zh-CN"/>
        </w:rPr>
      </w:pPr>
    </w:p>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both"/>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天津东疆综合保税区总工会（团委、</w:t>
      </w: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妇联）</w:t>
      </w:r>
      <w:r>
        <w:rPr>
          <w:rFonts w:ascii="方正小标宋简体" w:hAnsi="Times New Roman" w:eastAsia="方正小标宋简体" w:cs="方正小标宋简体"/>
          <w:sz w:val="48"/>
          <w:szCs w:val="48"/>
          <w:lang w:val="zh-CN"/>
        </w:rPr>
        <w:t>2022</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600" w:lineRule="exact"/>
        <w:jc w:val="center"/>
        <w:rPr>
          <w:rFonts w:hAnsi="Times New Roman" w:cs="黑体"/>
          <w:sz w:val="44"/>
          <w:szCs w:val="44"/>
        </w:rPr>
      </w:pPr>
      <w:r>
        <w:rPr>
          <w:rFonts w:hAnsi="Times New Roman" w:cs="黑体"/>
          <w:kern w:val="2"/>
          <w:sz w:val="30"/>
          <w:szCs w:val="30"/>
        </w:rPr>
        <w:br w:type="page"/>
      </w:r>
    </w:p>
    <w:p>
      <w:pPr>
        <w:spacing w:line="600" w:lineRule="exact"/>
        <w:jc w:val="center"/>
        <w:rPr>
          <w:rFonts w:hAnsi="Times New Roman" w:cs="黑体"/>
          <w:sz w:val="30"/>
          <w:szCs w:val="30"/>
        </w:rPr>
      </w:pPr>
      <w:r>
        <w:rPr>
          <w:rFonts w:hint="eastAsia" w:hAnsi="Times New Roman" w:cs="黑体"/>
          <w:sz w:val="44"/>
          <w:szCs w:val="44"/>
        </w:rPr>
        <w:t>目录</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第一部分概况</w:t>
      </w:r>
      <w:r>
        <w:rPr>
          <w:rFonts w:ascii="Times New Roman" w:hAnsi="Times New Roman" w:eastAsia="方正小标宋简体"/>
          <w:sz w:val="30"/>
          <w:szCs w:val="30"/>
        </w:rPr>
        <w:tab/>
      </w:r>
      <w:r>
        <w:rPr>
          <w:rFonts w:ascii="Times New Roman" w:hAnsi="Times New Roman" w:eastAsia="方正小标宋简体"/>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二、机构设置</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第二部分</w:t>
      </w:r>
      <w:r>
        <w:rPr>
          <w:rFonts w:ascii="方正小标宋简体" w:hAnsi="Times New Roman" w:eastAsia="方正小标宋简体" w:cs="方正小标宋简体"/>
          <w:sz w:val="30"/>
          <w:szCs w:val="30"/>
        </w:rPr>
        <w:t xml:space="preserve">  2022</w:t>
      </w:r>
      <w:r>
        <w:rPr>
          <w:rFonts w:hint="eastAsia" w:ascii="方正小标宋简体" w:hAnsi="Times New Roman" w:eastAsia="方正小标宋简体" w:cs="方正小标宋简体"/>
          <w:sz w:val="30"/>
          <w:szCs w:val="30"/>
        </w:rPr>
        <w:t>年度部门决算表</w:t>
      </w:r>
      <w:r>
        <w:rPr>
          <w:rFonts w:ascii="Times New Roman" w:hAnsi="Times New Roman" w:eastAsia="方正小标宋简体"/>
          <w:sz w:val="30"/>
          <w:szCs w:val="30"/>
        </w:rPr>
        <w:tab/>
      </w:r>
      <w:r>
        <w:rPr>
          <w:rFonts w:ascii="Times New Roman" w:hAnsi="Times New Roman" w:eastAsia="方正小标宋简体"/>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一、收入支出决算总表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二、收入决算表（按功能分类列示）</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三、收入决算表（按单位列示）</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四、支出决算表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五、财政拨款收入支出决算总表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七、一般公共预算财政拨款基本支出决算表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八、政府性基金预算财政拨款收入支出决算表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九、国有资本经营预算财政拨款收入支出决算表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十一、项目支出决算表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十二、关于空表的说明</w:t>
      </w:r>
      <w:r>
        <w:rPr>
          <w:rFonts w:ascii="Times New Roman" w:hAnsi="Times New Roman" w:eastAsia="仿宋_GB2312"/>
          <w:sz w:val="30"/>
          <w:szCs w:val="30"/>
        </w:rPr>
        <w:tab/>
      </w:r>
      <w:r>
        <w:rPr>
          <w:rFonts w:ascii="Times New Roman" w:hAnsi="Times New Roman" w:eastAsia="仿宋_GB2312"/>
          <w:sz w:val="30"/>
          <w:szCs w:val="30"/>
        </w:rPr>
        <w:t>3</w:t>
      </w:r>
    </w:p>
    <w:p>
      <w:pPr>
        <w:tabs>
          <w:tab w:val="right" w:leader="dot" w:pos="8306"/>
        </w:tabs>
        <w:spacing w:line="700" w:lineRule="exact"/>
        <w:rPr>
          <w:rFonts w:ascii="方正小标宋简体" w:hAnsi="Times New Roman" w:eastAsia="方正小标宋简体" w:cs="方正小标宋简体"/>
          <w:sz w:val="30"/>
          <w:szCs w:val="30"/>
        </w:rPr>
      </w:pP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第三部分</w:t>
      </w:r>
      <w:r>
        <w:rPr>
          <w:rFonts w:ascii="方正小标宋简体" w:hAnsi="Times New Roman" w:eastAsia="方正小标宋简体" w:cs="方正小标宋简体"/>
          <w:sz w:val="30"/>
          <w:szCs w:val="30"/>
        </w:rPr>
        <w:t xml:space="preserve">  2022</w:t>
      </w:r>
      <w:r>
        <w:rPr>
          <w:rFonts w:hint="eastAsia" w:ascii="方正小标宋简体" w:hAnsi="Times New Roman" w:eastAsia="方正小标宋简体" w:cs="方正小标宋简体"/>
          <w:sz w:val="30"/>
          <w:szCs w:val="30"/>
        </w:rPr>
        <w:t>年度部门决算情况说明</w:t>
      </w:r>
      <w:r>
        <w:rPr>
          <w:rFonts w:ascii="Times New Roman" w:hAnsi="Times New Roman" w:eastAsia="方正小标宋简体"/>
          <w:sz w:val="30"/>
          <w:szCs w:val="30"/>
        </w:rPr>
        <w:tab/>
      </w:r>
      <w:r>
        <w:rPr>
          <w:rFonts w:ascii="Times New Roman" w:hAnsi="Times New Roman" w:eastAsia="方正小标宋简体"/>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一、收支决算总体情况说明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二、收入决算情况说明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三、支出决算情况说明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四、财政拨款收支决算总体情况说明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五、一般公共预算财政拨款支出决算情况说明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六、一般公共预算财政拨款基本支出决算情况说明</w:t>
      </w:r>
      <w:r>
        <w:rPr>
          <w:rFonts w:ascii="Times New Roman" w:hAnsi="Times New Roman" w:eastAsia="仿宋_GB2312"/>
          <w:sz w:val="30"/>
          <w:szCs w:val="30"/>
        </w:rPr>
        <w:tab/>
      </w:r>
      <w:r>
        <w:rPr>
          <w:rFonts w:ascii="Times New Roman" w:hAnsi="Times New Roman" w:eastAsia="仿宋_GB2312"/>
          <w:sz w:val="30"/>
          <w:szCs w:val="30"/>
        </w:rPr>
        <w:t>6</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七、政府性基金预算财政拨款收支决算情况说明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八、国有资本经营预算财政拨款收支决算情况说明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九、一般公共预算财政拨款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经费支出决算情况说明</w:t>
      </w:r>
      <w:r>
        <w:rPr>
          <w:rFonts w:ascii="Times New Roman" w:hAnsi="Times New Roman" w:eastAsia="仿宋_GB2312"/>
          <w:sz w:val="30"/>
          <w:szCs w:val="30"/>
        </w:rPr>
        <w:tab/>
      </w:r>
      <w:r>
        <w:rPr>
          <w:rFonts w:ascii="仿宋_GB2312" w:hAnsi="Times New Roman" w:eastAsia="仿宋_GB2312" w:cs="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十、机关运行经费支出情况说明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十一、政府采购支出情况说明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十二、国有资产占有使用情况说明</w:t>
      </w:r>
      <w:r>
        <w:rPr>
          <w:rFonts w:ascii="Times New Roman" w:hAnsi="Times New Roman" w:eastAsia="仿宋_GB2312"/>
          <w:sz w:val="30"/>
          <w:szCs w:val="30"/>
        </w:rPr>
        <w:tab/>
      </w:r>
      <w:r>
        <w:rPr>
          <w:rFonts w:hint="eastAsia" w:ascii="Times New Roman" w:hAnsi="Times New Roman" w:eastAsia="仿宋_GB2312"/>
          <w:sz w:val="30"/>
          <w:szCs w:val="30"/>
        </w:rPr>
        <w:t>9</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十三、预算绩效情况说明</w:t>
      </w:r>
      <w:r>
        <w:rPr>
          <w:rFonts w:ascii="Times New Roman" w:hAnsi="Times New Roman" w:eastAsia="仿宋_GB2312"/>
          <w:sz w:val="30"/>
          <w:szCs w:val="30"/>
        </w:rPr>
        <w:tab/>
      </w:r>
      <w:r>
        <w:rPr>
          <w:rFonts w:ascii="Times New Roman" w:hAnsi="Times New Roman" w:eastAsia="仿宋_GB2312"/>
          <w:sz w:val="30"/>
          <w:szCs w:val="30"/>
        </w:rPr>
        <w:t>9</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十四、教育、医疗卫生、社会保障和就业、住房保障、涉农补贴等民生支出情况说明</w:t>
      </w:r>
      <w:r>
        <w:rPr>
          <w:rFonts w:ascii="Times New Roman" w:hAnsi="Times New Roman" w:eastAsia="仿宋_GB2312"/>
          <w:sz w:val="30"/>
          <w:szCs w:val="30"/>
        </w:rPr>
        <w:tab/>
      </w:r>
      <w:r>
        <w:rPr>
          <w:rFonts w:hint="eastAsia" w:ascii="Times New Roman" w:hAnsi="Times New Roman" w:eastAsia="仿宋_GB2312"/>
          <w:sz w:val="30"/>
          <w:szCs w:val="30"/>
        </w:rPr>
        <w:t>9</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第四部分名词解释</w:t>
      </w:r>
      <w:r>
        <w:rPr>
          <w:rFonts w:ascii="Times New Roman" w:hAnsi="Times New Roman" w:eastAsia="方正小标宋简体"/>
          <w:sz w:val="30"/>
          <w:szCs w:val="30"/>
        </w:rPr>
        <w:tab/>
      </w:r>
      <w:r>
        <w:rPr>
          <w:rFonts w:hint="eastAsia" w:ascii="Times New Roman" w:hAnsi="Times New Roman" w:eastAsia="方正小标宋简体"/>
          <w:sz w:val="30"/>
          <w:szCs w:val="30"/>
        </w:rPr>
        <w:t>1</w:t>
      </w:r>
    </w:p>
    <w:p>
      <w:pPr>
        <w:widowControl/>
        <w:autoSpaceDE/>
        <w:autoSpaceDN/>
        <w:adjustRightInd/>
        <w:rPr>
          <w:rFonts w:ascii="Times New Roman" w:hAnsi="Times New Roman" w:eastAsia="方正小标宋简体"/>
          <w:sz w:val="30"/>
          <w:szCs w:val="30"/>
        </w:rPr>
      </w:pPr>
      <w:r>
        <w:rPr>
          <w:rFonts w:ascii="Times New Roman" w:hAnsi="Times New Roman" w:eastAsia="方正小标宋简体"/>
          <w:sz w:val="30"/>
          <w:szCs w:val="30"/>
        </w:rPr>
        <w:br w:type="page"/>
      </w:r>
    </w:p>
    <w:p>
      <w:pPr>
        <w:tabs>
          <w:tab w:val="right" w:leader="dot" w:pos="8306"/>
        </w:tabs>
        <w:spacing w:line="700" w:lineRule="exact"/>
        <w:rPr>
          <w:rFonts w:ascii="Times New Roman" w:hAnsi="Times New Roman" w:eastAsia="方正小标宋简体"/>
          <w:sz w:val="30"/>
          <w:szCs w:val="30"/>
        </w:rPr>
        <w:sectPr>
          <w:pgSz w:w="12240" w:h="15840"/>
          <w:pgMar w:top="1440" w:right="1800" w:bottom="1440" w:left="1800" w:header="720" w:footer="720" w:gutter="0"/>
          <w:cols w:space="720" w:num="1"/>
        </w:sectPr>
      </w:pPr>
    </w:p>
    <w:p>
      <w:pPr>
        <w:widowControl/>
        <w:autoSpaceDE/>
        <w:autoSpaceDN/>
        <w:adjustRightInd/>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第一部分概况</w:t>
      </w:r>
    </w:p>
    <w:p>
      <w:pPr>
        <w:spacing w:line="600" w:lineRule="exact"/>
        <w:rPr>
          <w:rFonts w:ascii="Times New Roman" w:hAnsi="Times New Roman" w:eastAsia="方正小标宋简体"/>
          <w:sz w:val="32"/>
          <w:szCs w:val="32"/>
        </w:rPr>
      </w:pPr>
    </w:p>
    <w:p>
      <w:pPr>
        <w:pStyle w:val="3"/>
        <w:keepNext/>
        <w:keepLines/>
        <w:spacing w:line="600" w:lineRule="exact"/>
        <w:ind w:firstLine="600"/>
        <w:rPr>
          <w:rFonts w:hAnsi="Times New Roman" w:cs="黑体"/>
          <w:b/>
          <w:bCs/>
          <w:sz w:val="32"/>
          <w:szCs w:val="32"/>
        </w:rPr>
      </w:pPr>
      <w:r>
        <w:rPr>
          <w:rFonts w:hint="eastAsia" w:hAnsi="Times New Roman" w:cs="黑体"/>
          <w:b/>
          <w:bCs/>
          <w:sz w:val="32"/>
          <w:szCs w:val="32"/>
        </w:rPr>
        <w:t>一、主要职责</w:t>
      </w:r>
    </w:p>
    <w:p>
      <w:pPr>
        <w:spacing w:line="600" w:lineRule="exact"/>
        <w:ind w:firstLine="600"/>
        <w:jc w:val="both"/>
        <w:rPr>
          <w:rFonts w:ascii="仿宋_GB2312" w:hAnsi="Times New Roman" w:eastAsia="仿宋_GB2312"/>
          <w:sz w:val="30"/>
          <w:szCs w:val="30"/>
        </w:rPr>
      </w:pPr>
      <w:r>
        <w:rPr>
          <w:rFonts w:hint="eastAsia" w:ascii="仿宋_GB2312" w:hAnsi="Times New Roman" w:eastAsia="仿宋_GB2312"/>
          <w:sz w:val="30"/>
          <w:szCs w:val="30"/>
        </w:rPr>
        <w:t>天津东疆综合保税区总工会（团委、妇联）为天津东疆综合保税区法定机构内设部门，主要负责总工会、团委、妇联等工作，承担本部门主管行业、业务的安全生产工作。</w:t>
      </w:r>
    </w:p>
    <w:p>
      <w:pPr>
        <w:pStyle w:val="3"/>
        <w:keepNext/>
        <w:keepLines/>
        <w:spacing w:line="600" w:lineRule="exact"/>
        <w:ind w:firstLine="600"/>
        <w:rPr>
          <w:rFonts w:hAnsi="Times New Roman" w:cs="黑体"/>
          <w:b/>
          <w:bCs/>
          <w:sz w:val="32"/>
          <w:szCs w:val="32"/>
        </w:rPr>
      </w:pPr>
      <w:r>
        <w:rPr>
          <w:rFonts w:hint="eastAsia" w:hAnsi="Times New Roman" w:cs="黑体"/>
          <w:b/>
          <w:bCs/>
          <w:sz w:val="32"/>
          <w:szCs w:val="32"/>
        </w:rPr>
        <w:t>二、机构设置</w:t>
      </w:r>
    </w:p>
    <w:p>
      <w:pPr>
        <w:spacing w:line="600" w:lineRule="exact"/>
        <w:ind w:firstLine="600"/>
        <w:jc w:val="both"/>
        <w:rPr>
          <w:rFonts w:ascii="仿宋_GB2312" w:hAnsi="Times New Roman" w:eastAsia="仿宋_GB2312"/>
          <w:sz w:val="30"/>
          <w:szCs w:val="30"/>
        </w:rPr>
      </w:pPr>
      <w:r>
        <w:rPr>
          <w:rFonts w:hint="eastAsia" w:ascii="仿宋_GB2312" w:hAnsi="Times New Roman" w:eastAsia="仿宋_GB2312"/>
          <w:sz w:val="30"/>
          <w:szCs w:val="30"/>
        </w:rPr>
        <w:t>天津东疆综合保税区总工会（团委、妇联）内设</w:t>
      </w:r>
      <w:r>
        <w:rPr>
          <w:rFonts w:ascii="仿宋_GB2312" w:hAnsi="Times New Roman" w:eastAsia="仿宋_GB2312"/>
          <w:sz w:val="30"/>
          <w:szCs w:val="30"/>
        </w:rPr>
        <w:t>2</w:t>
      </w:r>
      <w:r>
        <w:rPr>
          <w:rFonts w:hint="eastAsia" w:ascii="仿宋_GB2312" w:hAnsi="Times New Roman" w:eastAsia="仿宋_GB2312"/>
          <w:sz w:val="30"/>
          <w:szCs w:val="30"/>
        </w:rPr>
        <w:t>个职能科室，纳入天津东疆综合保税区总工会</w:t>
      </w:r>
      <w:r>
        <w:rPr>
          <w:rFonts w:ascii="仿宋_GB2312" w:hAnsi="Times New Roman" w:eastAsia="仿宋_GB2312"/>
          <w:sz w:val="30"/>
          <w:szCs w:val="30"/>
        </w:rPr>
        <w:t>2022</w:t>
      </w:r>
      <w:r>
        <w:rPr>
          <w:rFonts w:hint="eastAsia" w:ascii="仿宋_GB2312" w:hAnsi="Times New Roman" w:eastAsia="仿宋_GB2312"/>
          <w:sz w:val="30"/>
          <w:szCs w:val="30"/>
        </w:rPr>
        <w:t>年部门决算编制范围的预算单位包括天津东疆综合保税区总工会（团委、妇联）本级。</w:t>
      </w:r>
    </w:p>
    <w:p>
      <w:pPr>
        <w:spacing w:line="580" w:lineRule="exact"/>
        <w:ind w:firstLine="600"/>
        <w:rPr>
          <w:rFonts w:ascii="仿宋_GB2312" w:hAnsi="Times New Roman" w:eastAsia="仿宋_GB2312" w:cs="仿宋_GB2312"/>
          <w:kern w:val="2"/>
          <w:sz w:val="32"/>
          <w:szCs w:val="32"/>
          <w:lang w:val="zh-CN"/>
        </w:rPr>
      </w:pPr>
    </w:p>
    <w:p>
      <w:pPr>
        <w:pStyle w:val="2"/>
        <w:keepNext/>
        <w:keepLines/>
        <w:spacing w:before="340" w:after="330" w:line="600" w:lineRule="exact"/>
        <w:jc w:val="both"/>
        <w:rPr>
          <w:rFonts w:hAnsi="Times New Roman" w:cs="黑体"/>
          <w:kern w:val="2"/>
          <w:sz w:val="30"/>
          <w:szCs w:val="30"/>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pStyle w:val="2"/>
        <w:keepNext/>
        <w:keepLines/>
        <w:spacing w:line="600" w:lineRule="exact"/>
        <w:rPr>
          <w:rFonts w:ascii="方正小标宋简体" w:hAnsi="Times New Roman" w:eastAsia="方正小标宋简体" w:cs="方正小标宋简体"/>
          <w:kern w:val="44"/>
          <w:sz w:val="44"/>
          <w:szCs w:val="44"/>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第二部分</w:t>
      </w:r>
      <w:r>
        <w:rPr>
          <w:rFonts w:ascii="方正小标宋简体" w:hAnsi="Times New Roman" w:eastAsia="方正小标宋简体" w:cs="方正小标宋简体"/>
          <w:kern w:val="44"/>
          <w:sz w:val="44"/>
          <w:szCs w:val="44"/>
        </w:rPr>
        <w:t xml:space="preserve">  2022</w:t>
      </w:r>
      <w:r>
        <w:rPr>
          <w:rFonts w:hint="eastAsia" w:ascii="方正小标宋简体" w:hAnsi="Times New Roman" w:eastAsia="方正小标宋简体" w:cs="方正小标宋简体"/>
          <w:kern w:val="44"/>
          <w:sz w:val="44"/>
          <w:szCs w:val="44"/>
        </w:rPr>
        <w:t>年度部门决算表</w:t>
      </w:r>
    </w:p>
    <w:p>
      <w:pPr>
        <w:spacing w:line="600" w:lineRule="exact"/>
        <w:rPr>
          <w:rFonts w:ascii="Times New Roman" w:hAnsi="Times New Roman" w:eastAsia="方正小标宋简体"/>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九、《国有资本经营预算财政拨款收入支出决算表》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pPr>
        <w:rPr>
          <w:rFonts w:hAnsi="Times New Roman" w:cs="黑体"/>
          <w:sz w:val="30"/>
          <w:szCs w:val="30"/>
        </w:rPr>
      </w:pPr>
    </w:p>
    <w:p>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spacing w:line="600" w:lineRule="exact"/>
        <w:rPr>
          <w:rFonts w:hAnsi="Times New Roman" w:cs="黑体"/>
          <w:b/>
          <w:bCs/>
          <w:sz w:val="30"/>
          <w:szCs w:val="30"/>
        </w:rPr>
      </w:pPr>
      <w:r>
        <w:rPr>
          <w:rFonts w:ascii="Times New Roman" w:hAnsi="Times New Roman" w:eastAsia="楷体"/>
        </w:rPr>
        <w:br w:type="page"/>
      </w:r>
      <w:r>
        <w:rPr>
          <w:rFonts w:hint="eastAsia" w:hAnsi="Times New Roman" w:cs="黑体"/>
          <w:b/>
          <w:bCs/>
          <w:sz w:val="30"/>
          <w:szCs w:val="30"/>
        </w:rPr>
        <w:t>十二、关于空表的说明</w:t>
      </w:r>
    </w:p>
    <w:p>
      <w:pPr>
        <w:spacing w:line="600" w:lineRule="exact"/>
        <w:ind w:firstLine="600"/>
        <w:jc w:val="both"/>
        <w:rPr>
          <w:rFonts w:ascii="仿宋_GB2312" w:hAnsi="Times New Roman" w:eastAsia="仿宋_GB2312"/>
          <w:sz w:val="30"/>
          <w:szCs w:val="30"/>
        </w:rPr>
      </w:pPr>
      <w:r>
        <w:rPr>
          <w:rFonts w:hint="eastAsia" w:ascii="仿宋_GB2312" w:hAnsi="Times New Roman" w:eastAsia="仿宋_GB2312"/>
          <w:sz w:val="30"/>
          <w:szCs w:val="30"/>
        </w:rPr>
        <w:t>1.天津东疆综合保税区总工会（团委、妇联）2022年度政府性基金预算财政拨款收入支出决算表为空表。</w:t>
      </w:r>
    </w:p>
    <w:p>
      <w:pPr>
        <w:spacing w:line="600" w:lineRule="exact"/>
        <w:ind w:firstLine="600"/>
        <w:jc w:val="both"/>
        <w:rPr>
          <w:rFonts w:ascii="仿宋_GB2312" w:hAnsi="Times New Roman" w:eastAsia="仿宋_GB2312"/>
          <w:sz w:val="30"/>
          <w:szCs w:val="30"/>
        </w:rPr>
      </w:pPr>
      <w:r>
        <w:rPr>
          <w:rFonts w:hint="eastAsia" w:ascii="仿宋_GB2312" w:hAnsi="Times New Roman" w:eastAsia="仿宋_GB2312"/>
          <w:sz w:val="30"/>
          <w:szCs w:val="30"/>
        </w:rPr>
        <w:t>2.天津东疆综合保税区总工会（团委、妇联）2022年度国有资本经营预算财政拨款收入支出决算表为空表。</w:t>
      </w: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2"/>
          <w:szCs w:val="32"/>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spacing w:line="600" w:lineRule="exact"/>
        <w:ind w:firstLine="600"/>
        <w:jc w:val="both"/>
        <w:rPr>
          <w:rFonts w:ascii="仿宋_GB2312" w:hAnsi="Times New Roman" w:eastAsia="仿宋_GB2312"/>
          <w:sz w:val="30"/>
          <w:szCs w:val="30"/>
        </w:rPr>
      </w:pPr>
    </w:p>
    <w:p>
      <w:pPr>
        <w:rPr>
          <w:rFonts w:ascii="方正小标宋简体" w:hAnsi="Times New Roman" w:eastAsia="方正小标宋简体" w:cs="方正小标宋简体"/>
          <w:kern w:val="44"/>
          <w:sz w:val="44"/>
          <w:szCs w:val="44"/>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第三部分</w:t>
      </w:r>
      <w:r>
        <w:rPr>
          <w:rFonts w:ascii="方正小标宋简体" w:hAnsi="Times New Roman" w:eastAsia="方正小标宋简体" w:cs="方正小标宋简体"/>
          <w:kern w:val="44"/>
          <w:sz w:val="44"/>
          <w:szCs w:val="44"/>
        </w:rPr>
        <w:t xml:space="preserve">  2022</w:t>
      </w:r>
      <w:r>
        <w:rPr>
          <w:rFonts w:hint="eastAsia" w:ascii="方正小标宋简体" w:hAnsi="Times New Roman" w:eastAsia="方正小标宋简体" w:cs="方正小标宋简体"/>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spacing w:line="560" w:lineRule="exact"/>
        <w:ind w:firstLine="602"/>
        <w:rPr>
          <w:rFonts w:hAnsi="Times New Roman" w:cs="黑体"/>
          <w:b/>
          <w:bCs/>
          <w:sz w:val="30"/>
          <w:szCs w:val="30"/>
          <w:lang w:val="zh-CN"/>
        </w:rPr>
      </w:pPr>
      <w:r>
        <w:rPr>
          <w:rFonts w:hint="eastAsia" w:hAnsi="Times New Roman" w:cs="黑体"/>
          <w:b/>
          <w:bCs/>
          <w:sz w:val="30"/>
          <w:szCs w:val="30"/>
          <w:lang w:val="zh-CN"/>
        </w:rPr>
        <w:t>一、收入支出决算总体情况说明</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天津东疆综合保税区总工会（团委、妇联）2022年度收入、支出决算总计2,682,965.08元，与2021年度相比，收、支总计各增加2,682,965.08元，主要原因是</w:t>
      </w:r>
      <w:r>
        <w:rPr>
          <w:rFonts w:ascii="仿宋_GB2312" w:hAnsi="仿宋_GB2312" w:eastAsia="仿宋_GB2312" w:cs="仿宋_GB2312"/>
          <w:sz w:val="30"/>
          <w:szCs w:val="30"/>
        </w:rPr>
        <w:t>天津东疆综合保税区总工会（团委、妇联）</w:t>
      </w:r>
      <w:r>
        <w:rPr>
          <w:rFonts w:hint="eastAsia" w:ascii="仿宋_GB2312" w:hAnsi="仿宋_GB2312" w:eastAsia="仿宋_GB2312" w:cs="仿宋_GB2312"/>
          <w:sz w:val="30"/>
          <w:szCs w:val="30"/>
          <w:lang w:val="zh-CN"/>
        </w:rPr>
        <w:t>于2022年6月成为独立预算单位</w:t>
      </w:r>
      <w:r>
        <w:rPr>
          <w:rFonts w:hint="eastAsia" w:ascii="仿宋_GB2312" w:hAnsi="仿宋_GB2312" w:eastAsia="仿宋_GB2312" w:cs="仿宋_GB2312"/>
          <w:sz w:val="30"/>
          <w:szCs w:val="30"/>
        </w:rPr>
        <w:t>,依据文件为</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关于天津东疆综合保税区总工会（团委、妇联）2022年度部门中期调整预算的批复》（津东疆财预指[2022]7号）。</w:t>
      </w:r>
    </w:p>
    <w:p>
      <w:pPr>
        <w:pStyle w:val="3"/>
        <w:keepNext/>
        <w:keepLines/>
        <w:spacing w:line="560" w:lineRule="exact"/>
        <w:ind w:firstLine="602"/>
        <w:rPr>
          <w:rFonts w:hAnsi="Times New Roman" w:cs="黑体"/>
          <w:b/>
          <w:bCs/>
          <w:sz w:val="30"/>
          <w:szCs w:val="30"/>
          <w:lang w:val="zh-CN"/>
        </w:rPr>
      </w:pPr>
      <w:r>
        <w:rPr>
          <w:rFonts w:hint="eastAsia" w:hAnsi="Times New Roman" w:cs="黑体"/>
          <w:b/>
          <w:bCs/>
          <w:sz w:val="30"/>
          <w:szCs w:val="30"/>
          <w:lang w:val="zh-CN"/>
        </w:rPr>
        <w:t>二、收入决算情况说明</w:t>
      </w:r>
    </w:p>
    <w:p>
      <w:pPr>
        <w:spacing w:line="560" w:lineRule="exact"/>
        <w:ind w:firstLine="602"/>
        <w:jc w:val="both"/>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天津东疆综合保税区总工会（团委、妇联）2022年度本年收入合计2,682,965.08元，与2021年度相比增加2,682,965.08元，主要原因是</w:t>
      </w:r>
      <w:r>
        <w:rPr>
          <w:rFonts w:ascii="仿宋_GB2312" w:hAnsi="仿宋_GB2312" w:eastAsia="仿宋_GB2312" w:cs="仿宋_GB2312"/>
          <w:sz w:val="30"/>
          <w:szCs w:val="30"/>
        </w:rPr>
        <w:t>天津东疆综合保税区总工会（团委、妇联）</w:t>
      </w:r>
      <w:r>
        <w:rPr>
          <w:rFonts w:hint="eastAsia" w:ascii="仿宋_GB2312" w:hAnsi="仿宋_GB2312" w:eastAsia="仿宋_GB2312" w:cs="仿宋_GB2312"/>
          <w:sz w:val="30"/>
          <w:szCs w:val="30"/>
          <w:lang w:val="zh-CN"/>
        </w:rPr>
        <w:t>于2022年成为独立预算单位，</w:t>
      </w:r>
      <w:r>
        <w:rPr>
          <w:rFonts w:hint="eastAsia" w:ascii="仿宋_GB2312" w:hAnsi="仿宋_GB2312" w:eastAsia="仿宋_GB2312" w:cs="仿宋_GB2312"/>
          <w:sz w:val="30"/>
          <w:szCs w:val="30"/>
        </w:rPr>
        <w:t>依据文件为</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关于天津东疆综合保税区总工会（团委、妇联）2022年度部门中期调整预算的批复》（津东疆财预指[2022]7号）。</w:t>
      </w:r>
      <w:r>
        <w:rPr>
          <w:rFonts w:hint="eastAsia" w:ascii="仿宋_GB2312" w:hAnsi="仿宋_GB2312" w:eastAsia="仿宋_GB2312" w:cs="仿宋_GB2312"/>
          <w:sz w:val="30"/>
          <w:szCs w:val="30"/>
          <w:lang w:val="zh-CN"/>
        </w:rPr>
        <w:t>其中：一般公共预算财政拨款收入2,682,965.08元，占100.00%。</w:t>
      </w:r>
    </w:p>
    <w:p>
      <w:pPr>
        <w:pStyle w:val="3"/>
        <w:keepNext/>
        <w:keepLines/>
        <w:spacing w:line="560" w:lineRule="exact"/>
        <w:ind w:firstLine="602"/>
        <w:rPr>
          <w:rFonts w:hAnsi="Times New Roman" w:cs="黑体"/>
          <w:b/>
          <w:bCs/>
          <w:sz w:val="30"/>
          <w:szCs w:val="30"/>
          <w:lang w:val="zh-CN"/>
        </w:rPr>
      </w:pPr>
      <w:r>
        <w:rPr>
          <w:rFonts w:hint="eastAsia" w:hAnsi="Times New Roman" w:cs="黑体"/>
          <w:b/>
          <w:bCs/>
          <w:sz w:val="30"/>
          <w:szCs w:val="30"/>
          <w:lang w:val="zh-CN"/>
        </w:rPr>
        <w:t>三、支出决算情况说明</w:t>
      </w:r>
    </w:p>
    <w:p>
      <w:pPr>
        <w:spacing w:line="560" w:lineRule="exact"/>
        <w:ind w:right="-7" w:firstLine="602"/>
        <w:jc w:val="both"/>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天津东疆综合保税区总工会（团委、妇联）2022年度本年支出合计2,682,965.08元，与2021年度相比增加2,682,965.08元，主要原因是</w:t>
      </w:r>
      <w:r>
        <w:rPr>
          <w:rFonts w:ascii="仿宋_GB2312" w:hAnsi="仿宋_GB2312" w:eastAsia="仿宋_GB2312" w:cs="仿宋_GB2312"/>
          <w:sz w:val="30"/>
          <w:szCs w:val="30"/>
        </w:rPr>
        <w:t>天津东疆综合保税区总工会（团委、妇联）</w:t>
      </w:r>
      <w:r>
        <w:rPr>
          <w:rFonts w:hint="eastAsia" w:ascii="仿宋_GB2312" w:hAnsi="仿宋_GB2312" w:eastAsia="仿宋_GB2312" w:cs="仿宋_GB2312"/>
          <w:sz w:val="30"/>
          <w:szCs w:val="30"/>
          <w:lang w:val="zh-CN"/>
        </w:rPr>
        <w:t>于2022年成为独立预算单位，</w:t>
      </w:r>
      <w:r>
        <w:rPr>
          <w:rFonts w:hint="eastAsia" w:ascii="仿宋_GB2312" w:hAnsi="仿宋_GB2312" w:eastAsia="仿宋_GB2312" w:cs="仿宋_GB2312"/>
          <w:sz w:val="30"/>
          <w:szCs w:val="30"/>
        </w:rPr>
        <w:t>依据文件为</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关于天津东疆综合保税区总工会（团委、妇联）2022年度部门中期调整预算的批复》（津东疆财预指[2022]7号）。</w:t>
      </w:r>
      <w:r>
        <w:rPr>
          <w:rFonts w:hint="eastAsia" w:ascii="仿宋_GB2312" w:hAnsi="仿宋_GB2312" w:eastAsia="仿宋_GB2312" w:cs="仿宋_GB2312"/>
          <w:sz w:val="30"/>
          <w:szCs w:val="30"/>
          <w:lang w:val="zh-CN"/>
        </w:rPr>
        <w:t>其中：基本支出575,312.93元，占21.44%；项目支出2,107,652.15元，占78.56%。</w:t>
      </w:r>
    </w:p>
    <w:p>
      <w:pPr>
        <w:pStyle w:val="3"/>
        <w:keepNext/>
        <w:keepLines/>
        <w:spacing w:line="560" w:lineRule="exact"/>
        <w:ind w:firstLine="602"/>
        <w:jc w:val="both"/>
        <w:rPr>
          <w:rFonts w:hAnsi="Times New Roman" w:cs="黑体"/>
          <w:b/>
          <w:bCs/>
          <w:sz w:val="30"/>
          <w:szCs w:val="30"/>
          <w:lang w:val="zh-CN"/>
        </w:rPr>
      </w:pPr>
      <w:r>
        <w:rPr>
          <w:rFonts w:hint="eastAsia" w:hAnsi="Times New Roman" w:cs="黑体"/>
          <w:b/>
          <w:bCs/>
          <w:sz w:val="30"/>
          <w:szCs w:val="30"/>
          <w:lang w:val="zh-CN"/>
        </w:rPr>
        <w:t>四、财政拨款收支决算总体情况说明</w:t>
      </w:r>
    </w:p>
    <w:p>
      <w:pPr>
        <w:spacing w:line="560" w:lineRule="exact"/>
        <w:ind w:firstLine="602"/>
        <w:jc w:val="both"/>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天津东疆综合保税区总工会（团委、妇联）2022年度财政拨款收入、支出决算总计2,682,965.08元，与2021年度相比，财政拨款收、支总计增加2,682,965.08元，增长</w:t>
      </w:r>
      <w:r>
        <w:rPr>
          <w:rFonts w:hint="eastAsia" w:ascii="仿宋_GB2312" w:hAnsi="仿宋_GB2312" w:eastAsia="仿宋_GB2312" w:cs="仿宋_GB2312"/>
          <w:sz w:val="30"/>
          <w:szCs w:val="30"/>
        </w:rPr>
        <w:t>100.00%，</w:t>
      </w:r>
      <w:r>
        <w:rPr>
          <w:rFonts w:hint="eastAsia" w:ascii="仿宋_GB2312" w:hAnsi="仿宋_GB2312" w:eastAsia="仿宋_GB2312" w:cs="仿宋_GB2312"/>
          <w:sz w:val="30"/>
          <w:szCs w:val="30"/>
          <w:lang w:val="zh-CN"/>
        </w:rPr>
        <w:t>主要原因是</w:t>
      </w:r>
      <w:r>
        <w:rPr>
          <w:rFonts w:ascii="仿宋_GB2312" w:hAnsi="仿宋_GB2312" w:eastAsia="仿宋_GB2312" w:cs="仿宋_GB2312"/>
          <w:sz w:val="30"/>
          <w:szCs w:val="30"/>
        </w:rPr>
        <w:t>天津东疆综合保税区总工会（团委、妇联）</w:t>
      </w:r>
      <w:r>
        <w:rPr>
          <w:rFonts w:hint="eastAsia" w:ascii="仿宋_GB2312" w:hAnsi="仿宋_GB2312" w:eastAsia="仿宋_GB2312" w:cs="仿宋_GB2312"/>
          <w:sz w:val="30"/>
          <w:szCs w:val="30"/>
          <w:lang w:val="zh-CN"/>
        </w:rPr>
        <w:t>于2022年6月成为独立预算单位，</w:t>
      </w:r>
      <w:r>
        <w:rPr>
          <w:rFonts w:hint="eastAsia" w:ascii="仿宋_GB2312" w:hAnsi="仿宋_GB2312" w:eastAsia="仿宋_GB2312" w:cs="仿宋_GB2312"/>
          <w:sz w:val="30"/>
          <w:szCs w:val="30"/>
        </w:rPr>
        <w:t>依据文件为</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关于天津东疆综合保税区总工会（团委、妇联）2022年度部门中期调整预算的批复》（津东疆财预指[2022]7号）。</w:t>
      </w:r>
    </w:p>
    <w:p>
      <w:pPr>
        <w:pStyle w:val="3"/>
        <w:keepNext/>
        <w:keepLines/>
        <w:spacing w:line="560" w:lineRule="exact"/>
        <w:ind w:firstLine="602"/>
        <w:jc w:val="both"/>
        <w:rPr>
          <w:rFonts w:hAnsi="Times New Roman" w:cs="黑体"/>
          <w:b/>
          <w:bCs/>
          <w:sz w:val="30"/>
          <w:szCs w:val="30"/>
        </w:rPr>
      </w:pPr>
      <w:r>
        <w:rPr>
          <w:rFonts w:hint="eastAsia" w:hAnsi="Times New Roman" w:cs="黑体"/>
          <w:b/>
          <w:bCs/>
          <w:sz w:val="30"/>
          <w:szCs w:val="30"/>
        </w:rPr>
        <w:t>五、一般公共预算财政拨款支出决算情况说明</w:t>
      </w:r>
    </w:p>
    <w:p>
      <w:pPr>
        <w:spacing w:line="560" w:lineRule="exact"/>
        <w:ind w:left="480"/>
        <w:jc w:val="both"/>
        <w:rPr>
          <w:rFonts w:ascii="楷体" w:hAnsi="Times New Roman" w:eastAsia="楷体" w:cs="楷体"/>
          <w:b/>
          <w:bCs/>
          <w:sz w:val="30"/>
          <w:szCs w:val="30"/>
        </w:rPr>
      </w:pPr>
      <w:r>
        <w:rPr>
          <w:rFonts w:hint="eastAsia" w:ascii="楷体" w:hAnsi="Times New Roman" w:eastAsia="楷体" w:cs="楷体"/>
          <w:b/>
          <w:bCs/>
          <w:sz w:val="30"/>
          <w:szCs w:val="30"/>
        </w:rPr>
        <w:t>（一）总体情况</w:t>
      </w:r>
    </w:p>
    <w:p>
      <w:pPr>
        <w:spacing w:line="560" w:lineRule="exact"/>
        <w:ind w:firstLine="602"/>
        <w:jc w:val="both"/>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天津东疆综合保税区总工会（团委、妇联）2022年度部门决算一般公共预算财政拨款支出合计2,682,965.08元,占本年支出合计的100.00%，与2021年度相比，增加2,682,965.08元，增长</w:t>
      </w:r>
      <w:r>
        <w:rPr>
          <w:rFonts w:hint="eastAsia" w:ascii="仿宋_GB2312" w:hAnsi="仿宋_GB2312" w:eastAsia="仿宋_GB2312" w:cs="仿宋_GB2312"/>
          <w:sz w:val="30"/>
          <w:szCs w:val="30"/>
        </w:rPr>
        <w:t>100.00%，</w:t>
      </w:r>
      <w:r>
        <w:rPr>
          <w:rFonts w:hint="eastAsia" w:ascii="仿宋_GB2312" w:hAnsi="仿宋_GB2312" w:eastAsia="仿宋_GB2312" w:cs="仿宋_GB2312"/>
          <w:sz w:val="30"/>
          <w:szCs w:val="30"/>
          <w:lang w:val="zh-CN"/>
        </w:rPr>
        <w:t>主要原因是</w:t>
      </w:r>
      <w:r>
        <w:rPr>
          <w:rFonts w:ascii="仿宋_GB2312" w:hAnsi="仿宋_GB2312" w:eastAsia="仿宋_GB2312" w:cs="仿宋_GB2312"/>
          <w:sz w:val="30"/>
          <w:szCs w:val="30"/>
        </w:rPr>
        <w:t>天津东疆综合保税区总工会（团委、妇联）</w:t>
      </w:r>
      <w:r>
        <w:rPr>
          <w:rFonts w:hint="eastAsia" w:ascii="仿宋_GB2312" w:hAnsi="仿宋_GB2312" w:eastAsia="仿宋_GB2312" w:cs="仿宋_GB2312"/>
          <w:sz w:val="30"/>
          <w:szCs w:val="30"/>
          <w:lang w:val="zh-CN"/>
        </w:rPr>
        <w:t>于2022年6月成为独立预算单位，</w:t>
      </w:r>
      <w:r>
        <w:rPr>
          <w:rFonts w:hint="eastAsia" w:ascii="仿宋_GB2312" w:hAnsi="仿宋_GB2312" w:eastAsia="仿宋_GB2312" w:cs="仿宋_GB2312"/>
          <w:sz w:val="30"/>
          <w:szCs w:val="30"/>
        </w:rPr>
        <w:t>依据文件为</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关于天津东疆综合保税区总工会（团委、妇联）2022年度部门中期调整预算的批复》（津东疆财预指[2022]7号）。</w:t>
      </w:r>
    </w:p>
    <w:p>
      <w:pPr>
        <w:spacing w:line="560" w:lineRule="exact"/>
        <w:ind w:left="480"/>
        <w:jc w:val="both"/>
        <w:rPr>
          <w:rFonts w:ascii="仿宋" w:hAnsi="仿宋" w:eastAsia="仿宋" w:cs="仿宋"/>
          <w:sz w:val="30"/>
          <w:szCs w:val="30"/>
          <w:lang w:val="zh-CN"/>
        </w:rPr>
      </w:pPr>
      <w:r>
        <w:rPr>
          <w:rFonts w:hint="eastAsia" w:ascii="楷体" w:hAnsi="Times New Roman" w:eastAsia="楷体" w:cs="楷体"/>
          <w:b/>
          <w:bCs/>
          <w:sz w:val="30"/>
          <w:szCs w:val="30"/>
        </w:rPr>
        <w:t>（二）支出结构情况</w:t>
      </w:r>
    </w:p>
    <w:p>
      <w:pPr>
        <w:spacing w:line="560" w:lineRule="exact"/>
        <w:ind w:firstLine="720"/>
        <w:jc w:val="both"/>
        <w:rPr>
          <w:rFonts w:ascii="仿宋" w:hAnsi="仿宋" w:eastAsia="仿宋" w:cs="仿宋_GB2312"/>
          <w:kern w:val="2"/>
          <w:sz w:val="30"/>
          <w:szCs w:val="30"/>
        </w:rPr>
      </w:pPr>
      <w:r>
        <w:rPr>
          <w:rFonts w:hint="eastAsia" w:ascii="仿宋_GB2312" w:hAnsi="仿宋_GB2312" w:eastAsia="仿宋_GB2312" w:cs="仿宋_GB2312"/>
          <w:kern w:val="2"/>
          <w:sz w:val="30"/>
          <w:szCs w:val="30"/>
        </w:rPr>
        <w:t>2022年度一般公共预算财政拨款支出2,682,965.08元，主要用于以下方面:一般公共服务支出2,682,965.08元，占100.00%。</w:t>
      </w:r>
    </w:p>
    <w:p>
      <w:pPr>
        <w:spacing w:line="560" w:lineRule="exact"/>
        <w:ind w:left="480"/>
        <w:jc w:val="both"/>
        <w:rPr>
          <w:rFonts w:ascii="楷体" w:hAnsi="Times New Roman" w:eastAsia="楷体" w:cs="楷体"/>
          <w:b/>
          <w:bCs/>
          <w:sz w:val="30"/>
          <w:szCs w:val="30"/>
        </w:rPr>
      </w:pPr>
      <w:r>
        <w:rPr>
          <w:rFonts w:hint="eastAsia" w:ascii="楷体" w:hAnsi="Times New Roman" w:eastAsia="楷体" w:cs="楷体"/>
          <w:b/>
          <w:bCs/>
          <w:sz w:val="30"/>
          <w:szCs w:val="30"/>
        </w:rPr>
        <w:t>（三）具体情况</w:t>
      </w:r>
    </w:p>
    <w:p>
      <w:pPr>
        <w:spacing w:line="560" w:lineRule="exact"/>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2022年度一般公共预算财政拨款支出年初预算为</w:t>
      </w:r>
      <w:r>
        <w:rPr>
          <w:rFonts w:hint="eastAsia" w:ascii="仿宋_GB2312" w:hAnsi="仿宋_GB2312" w:eastAsia="仿宋_GB2312" w:cs="仿宋_GB2312"/>
          <w:kern w:val="2"/>
          <w:sz w:val="30"/>
          <w:szCs w:val="30"/>
        </w:rPr>
        <w:t>0.00</w:t>
      </w:r>
      <w:r>
        <w:rPr>
          <w:rFonts w:hint="eastAsia" w:ascii="仿宋_GB2312" w:hAnsi="仿宋_GB2312" w:eastAsia="仿宋_GB2312" w:cs="仿宋_GB2312"/>
          <w:sz w:val="30"/>
          <w:szCs w:val="30"/>
        </w:rPr>
        <w:t>元，支出决算为</w:t>
      </w:r>
      <w:r>
        <w:rPr>
          <w:rFonts w:hint="eastAsia" w:ascii="仿宋_GB2312" w:hAnsi="仿宋_GB2312" w:eastAsia="仿宋_GB2312" w:cs="仿宋_GB2312"/>
          <w:kern w:val="2"/>
          <w:sz w:val="30"/>
          <w:szCs w:val="30"/>
        </w:rPr>
        <w:t>2,682,965.08</w:t>
      </w:r>
      <w:r>
        <w:rPr>
          <w:rFonts w:hint="eastAsia" w:ascii="仿宋_GB2312" w:hAnsi="仿宋_GB2312" w:eastAsia="仿宋_GB2312" w:cs="仿宋_GB2312"/>
          <w:sz w:val="30"/>
          <w:szCs w:val="30"/>
        </w:rPr>
        <w:t>元。其中：</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1.一般公共服务支出（类）群众团体事务（款）行政运行（项）年初预算为0</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元，支出决算为593</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297.93元，决算数大于年初预算数的主要原因是</w:t>
      </w:r>
      <w:r>
        <w:rPr>
          <w:rFonts w:ascii="仿宋_GB2312" w:hAnsi="仿宋_GB2312" w:eastAsia="仿宋_GB2312" w:cs="仿宋_GB2312"/>
          <w:sz w:val="30"/>
          <w:szCs w:val="30"/>
        </w:rPr>
        <w:t>天津东疆综合保税区总工会（团委、妇联）</w:t>
      </w:r>
      <w:r>
        <w:rPr>
          <w:rFonts w:hint="eastAsia" w:ascii="仿宋_GB2312" w:hAnsi="仿宋_GB2312" w:eastAsia="仿宋_GB2312" w:cs="仿宋_GB2312"/>
          <w:sz w:val="30"/>
          <w:szCs w:val="30"/>
        </w:rPr>
        <w:t>于2022年6月成为独立预算单位，依据文件为</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关于天津东疆综合保税区总工会（团委、妇联）2022年度部门中期调整预算的批复》（津东疆财预指[2022]7号）。</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2.一般公共服务支出（类）群众团体事务（款）一般行政管理事务（项）年初预算为0.</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元，支出决算为2</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089</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667.15元，</w:t>
      </w:r>
      <w:bookmarkStart w:id="0" w:name="_Hlk143525255"/>
      <w:r>
        <w:rPr>
          <w:rFonts w:hint="eastAsia" w:ascii="仿宋_GB2312" w:hAnsi="仿宋_GB2312" w:eastAsia="仿宋_GB2312" w:cs="仿宋_GB2312"/>
          <w:sz w:val="30"/>
          <w:szCs w:val="30"/>
        </w:rPr>
        <w:t>决算数大于年初预算数的主要原因是</w:t>
      </w:r>
      <w:r>
        <w:rPr>
          <w:rFonts w:ascii="仿宋_GB2312" w:hAnsi="仿宋_GB2312" w:eastAsia="仿宋_GB2312" w:cs="仿宋_GB2312"/>
          <w:sz w:val="30"/>
          <w:szCs w:val="30"/>
        </w:rPr>
        <w:t>天津东疆综合保税区总工会（团委、妇联）</w:t>
      </w:r>
      <w:r>
        <w:rPr>
          <w:rFonts w:hint="eastAsia" w:ascii="仿宋_GB2312" w:hAnsi="仿宋_GB2312" w:eastAsia="仿宋_GB2312" w:cs="仿宋_GB2312"/>
          <w:sz w:val="30"/>
          <w:szCs w:val="30"/>
        </w:rPr>
        <w:t>于2022年6月成为独立预算单位，依据文件为</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关于天津东疆综合保税区总工会（团委、妇联）2022年度部门中期调整预算的批复》（津东疆财预指[2022]7号）。</w:t>
      </w:r>
    </w:p>
    <w:bookmarkEnd w:id="0"/>
    <w:p>
      <w:pPr>
        <w:spacing w:line="560" w:lineRule="exact"/>
        <w:ind w:firstLine="600"/>
        <w:jc w:val="both"/>
        <w:rPr>
          <w:rFonts w:ascii="仿宋" w:hAnsi="仿宋" w:eastAsia="仿宋" w:cs="仿宋_GB2312"/>
          <w:b/>
          <w:bCs/>
          <w:sz w:val="30"/>
          <w:szCs w:val="30"/>
        </w:rPr>
      </w:pPr>
      <w:r>
        <w:rPr>
          <w:rFonts w:hint="eastAsia" w:hAnsi="Times New Roman" w:cs="黑体"/>
          <w:b/>
          <w:bCs/>
          <w:sz w:val="30"/>
          <w:szCs w:val="30"/>
        </w:rPr>
        <w:t>六、一般公共预算财政拨款基本支出决算情况说明</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天津东疆综合保税区总工会（团委、妇联）2022年度部门决算一般公共预算财政拨款基本支出合计575,312.93元，与2021年度相比增加575,312.93元，主要原因是</w:t>
      </w:r>
      <w:r>
        <w:rPr>
          <w:rFonts w:ascii="仿宋_GB2312" w:hAnsi="仿宋_GB2312" w:eastAsia="仿宋_GB2312" w:cs="仿宋_GB2312"/>
          <w:sz w:val="30"/>
          <w:szCs w:val="30"/>
        </w:rPr>
        <w:t>天津东疆综合保税区总工会（团委、妇联）</w:t>
      </w:r>
      <w:r>
        <w:rPr>
          <w:rFonts w:hint="eastAsia" w:ascii="仿宋_GB2312" w:hAnsi="仿宋_GB2312" w:eastAsia="仿宋_GB2312" w:cs="仿宋_GB2312"/>
          <w:sz w:val="30"/>
          <w:szCs w:val="30"/>
        </w:rPr>
        <w:t>于2022年6月成为独立预算单位，依据文件为</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关于天津东疆综合保税区总工会（团委、妇联）2022年度部门中期调整预算的批复》（津东疆财预指[2022]7号）。其中：人员经费562,699.21元，主要包括基本工资、津贴补贴、奖金、机关事业单位基本养老保险缴费、职业年金缴费、职工基本医疗保险缴费、其他社会保障缴费、住房公积金；公用经费12,613.72元，主要包括办公费、差旅费、维修(护)费、公务接待费。</w:t>
      </w:r>
    </w:p>
    <w:p>
      <w:pPr>
        <w:pStyle w:val="3"/>
        <w:keepNext/>
        <w:keepLines/>
        <w:spacing w:line="560" w:lineRule="exact"/>
        <w:ind w:firstLine="602"/>
        <w:jc w:val="both"/>
        <w:rPr>
          <w:rFonts w:hAnsi="Times New Roman" w:cs="黑体"/>
          <w:b/>
          <w:bCs/>
          <w:sz w:val="30"/>
          <w:szCs w:val="30"/>
        </w:rPr>
      </w:pPr>
      <w:r>
        <w:rPr>
          <w:rFonts w:hint="eastAsia" w:hAnsi="Times New Roman" w:cs="黑体"/>
          <w:b/>
          <w:bCs/>
          <w:sz w:val="30"/>
          <w:szCs w:val="30"/>
        </w:rPr>
        <w:t>七、政府性基金预算财政拨款收支决算情况</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天津东疆综合保税区总工会（团委、妇联）2022年度无政府性基金预算财政拨款收入、支出和结转结余。</w:t>
      </w:r>
    </w:p>
    <w:p>
      <w:pPr>
        <w:spacing w:line="560" w:lineRule="exact"/>
        <w:ind w:firstLine="600"/>
        <w:jc w:val="both"/>
        <w:rPr>
          <w:rFonts w:hAnsi="Times New Roman" w:cs="黑体"/>
          <w:b/>
          <w:bCs/>
          <w:sz w:val="30"/>
          <w:szCs w:val="30"/>
        </w:rPr>
      </w:pPr>
      <w:r>
        <w:rPr>
          <w:rFonts w:hint="eastAsia" w:hAnsi="Times New Roman" w:cs="黑体"/>
          <w:b/>
          <w:bCs/>
          <w:sz w:val="30"/>
          <w:szCs w:val="30"/>
        </w:rPr>
        <w:t>八、国有资本经营预算财政拨款收支决算情况说明</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天津东疆综合保税区总工会（团委、妇联）2022年度无国有资本经营预算财政拨款收入、支出和结转结余。</w:t>
      </w:r>
    </w:p>
    <w:p>
      <w:pPr>
        <w:pStyle w:val="3"/>
        <w:keepNext/>
        <w:keepLines/>
        <w:spacing w:line="560" w:lineRule="exact"/>
        <w:ind w:firstLine="602"/>
        <w:jc w:val="both"/>
        <w:rPr>
          <w:rFonts w:hAnsi="Times New Roman" w:cs="黑体"/>
          <w:b/>
          <w:bCs/>
          <w:sz w:val="30"/>
          <w:szCs w:val="30"/>
        </w:rPr>
      </w:pPr>
      <w:r>
        <w:rPr>
          <w:rFonts w:hint="eastAsia" w:hAnsi="Times New Roman" w:cs="黑体"/>
          <w:b/>
          <w:bCs/>
          <w:sz w:val="30"/>
          <w:szCs w:val="30"/>
        </w:rPr>
        <w:t>九、一般公共预算财政拨款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w:t>
      </w:r>
    </w:p>
    <w:p>
      <w:pPr>
        <w:spacing w:line="560" w:lineRule="exact"/>
        <w:ind w:firstLine="602"/>
        <w:jc w:val="both"/>
        <w:rPr>
          <w:rFonts w:ascii="楷体" w:hAnsi="Times New Roman" w:eastAsia="楷体" w:cs="楷体"/>
          <w:b/>
          <w:bCs/>
          <w:sz w:val="30"/>
          <w:szCs w:val="30"/>
        </w:rPr>
      </w:pPr>
      <w:r>
        <w:rPr>
          <w:rFonts w:hint="eastAsia" w:ascii="楷体" w:hAnsi="Times New Roman" w:eastAsia="楷体" w:cs="楷体"/>
          <w:b/>
          <w:bCs/>
          <w:sz w:val="30"/>
          <w:szCs w:val="30"/>
        </w:rPr>
        <w:t>（一）总体情况</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2022年一般公共预算财政拨款“三公”经费预算0</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元，支出决算990.00元，与2022年预算相比增加</w:t>
      </w:r>
      <w:r>
        <w:rPr>
          <w:rFonts w:ascii="仿宋_GB2312" w:hAnsi="仿宋_GB2312" w:eastAsia="仿宋_GB2312" w:cs="仿宋_GB2312"/>
          <w:sz w:val="30"/>
          <w:szCs w:val="30"/>
        </w:rPr>
        <w:t>990.00</w:t>
      </w:r>
      <w:r>
        <w:rPr>
          <w:rFonts w:hint="eastAsia" w:ascii="仿宋_GB2312" w:hAnsi="仿宋_GB2312" w:eastAsia="仿宋_GB2312" w:cs="仿宋_GB2312"/>
          <w:sz w:val="30"/>
          <w:szCs w:val="30"/>
        </w:rPr>
        <w:t>元；较上年增加990.00元，决算数大于预算数</w:t>
      </w:r>
      <w:bookmarkStart w:id="1" w:name="_Hlk143525318"/>
      <w:r>
        <w:rPr>
          <w:rFonts w:hint="eastAsia" w:ascii="仿宋_GB2312" w:hAnsi="仿宋_GB2312" w:eastAsia="仿宋_GB2312" w:cs="仿宋_GB2312"/>
          <w:sz w:val="30"/>
          <w:szCs w:val="30"/>
        </w:rPr>
        <w:t>的的主要原因是天津东疆综合保税区总工会（团委、妇联）于</w:t>
      </w:r>
      <w:r>
        <w:rPr>
          <w:rFonts w:ascii="仿宋_GB2312" w:hAnsi="仿宋_GB2312" w:eastAsia="仿宋_GB2312" w:cs="仿宋_GB2312"/>
          <w:sz w:val="30"/>
          <w:szCs w:val="30"/>
        </w:rPr>
        <w:t>2022年6月成为独立预算单位，依据文件为《关于天津东疆综合保税区总工会（团委、妇联）2022年度部门中期调整预算的批复》（津东疆财预指[2022]7号）。</w:t>
      </w:r>
      <w:r>
        <w:rPr>
          <w:rFonts w:hint="eastAsia" w:ascii="仿宋_GB2312" w:hAnsi="仿宋_GB2312" w:eastAsia="仿宋_GB2312" w:cs="仿宋_GB2312"/>
          <w:sz w:val="30"/>
          <w:szCs w:val="30"/>
        </w:rPr>
        <w:t>决算数较上年增加的主要原因是天津东疆综合保税区总工会（团委、妇联）于</w:t>
      </w:r>
      <w:r>
        <w:rPr>
          <w:rFonts w:ascii="仿宋_GB2312" w:hAnsi="仿宋_GB2312" w:eastAsia="仿宋_GB2312" w:cs="仿宋_GB2312"/>
          <w:sz w:val="30"/>
          <w:szCs w:val="30"/>
        </w:rPr>
        <w:t>2022年6月成为独立预算单位，依据文件为《关于天津东疆综合保税区总工会（团委、妇联）2022年度部门中期调整预算的批复》（津东疆财预指[2022]7号）。</w:t>
      </w:r>
    </w:p>
    <w:bookmarkEnd w:id="1"/>
    <w:p>
      <w:pPr>
        <w:spacing w:line="560" w:lineRule="exact"/>
        <w:ind w:firstLine="602"/>
        <w:jc w:val="both"/>
        <w:rPr>
          <w:rFonts w:ascii="楷体" w:hAnsi="Times New Roman" w:eastAsia="楷体" w:cs="楷体"/>
          <w:b/>
          <w:bCs/>
          <w:sz w:val="30"/>
          <w:szCs w:val="30"/>
        </w:rPr>
      </w:pPr>
      <w:r>
        <w:rPr>
          <w:rFonts w:hint="eastAsia" w:ascii="楷体" w:hAnsi="Times New Roman" w:eastAsia="楷体" w:cs="楷体"/>
          <w:b/>
          <w:bCs/>
          <w:sz w:val="30"/>
          <w:szCs w:val="30"/>
        </w:rPr>
        <w:t>（二）具体情况</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因公出国（境）费预算0.00元，支出决算0.00元，与预算相比持平；支出较上年持平。决算数等于预算数的主要原因是本年度未用一般公共预算列支因公出国（境）费。2022年本单位组织的出国团组0个，出国0人次。</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2.公务用车购置及运行维护费预算0.00元，支出决算0.00元，与预算相比增持平；支出较上年持平。其中：</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公务用车运行维护费预算0.00元，支出决算0.00元，与预算相比持平；支出较上年持平。决算数等于预算数的主要原因是本年度未用一般公共预算列支公务用车运行维护费。截至2022年12月31日，使用一般公共预算财政拨款开支运行维护费的公务用车保有量为0辆。</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公务用车购置费预算0.00元，支出决算0.00元，与预算相比持平；支出较上年持平。决算数等于预算数的主要原因是本年度未用一般公共预算列支公务用车购置费，2022年购置公务用车0辆。</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公务接待费预算0.00，支出决算990.00元，与预算相比增加了</w:t>
      </w:r>
      <w:r>
        <w:rPr>
          <w:rFonts w:ascii="仿宋_GB2312" w:hAnsi="仿宋_GB2312" w:eastAsia="仿宋_GB2312" w:cs="仿宋_GB2312"/>
          <w:sz w:val="30"/>
          <w:szCs w:val="30"/>
        </w:rPr>
        <w:t>99</w:t>
      </w:r>
      <w:r>
        <w:rPr>
          <w:rFonts w:hint="eastAsia" w:ascii="仿宋_GB2312" w:hAnsi="仿宋_GB2312" w:eastAsia="仿宋_GB2312" w:cs="仿宋_GB2312"/>
          <w:sz w:val="30"/>
          <w:szCs w:val="30"/>
        </w:rPr>
        <w:t>0.00元；较上年增加990.00元，决算数大于预算数的主要原因是津东疆综合保税区总工会（团委、妇联）于</w:t>
      </w:r>
      <w:r>
        <w:rPr>
          <w:rFonts w:ascii="仿宋_GB2312" w:hAnsi="仿宋_GB2312" w:eastAsia="仿宋_GB2312" w:cs="仿宋_GB2312"/>
          <w:sz w:val="30"/>
          <w:szCs w:val="30"/>
        </w:rPr>
        <w:t>2022年6月成为独立预算单位，依据文件为《关于天津东疆综合保税区总工会（团委、妇联）2022年度部门中期调整预算的批复》（津东疆财预指[2022]7号）</w:t>
      </w:r>
      <w:r>
        <w:rPr>
          <w:rFonts w:hint="eastAsia" w:ascii="仿宋_GB2312" w:hAnsi="仿宋_GB2312" w:eastAsia="仿宋_GB2312" w:cs="仿宋_GB2312"/>
          <w:sz w:val="30"/>
          <w:szCs w:val="30"/>
        </w:rPr>
        <w:t>，2022年本单位国内公务接待1批次，6人次；其中，外事接待0批次，0人次。决算数较上年增加的主要原因是天津东疆综合保税区总工会（团委、妇联）于</w:t>
      </w:r>
      <w:r>
        <w:rPr>
          <w:rFonts w:ascii="仿宋_GB2312" w:hAnsi="仿宋_GB2312" w:eastAsia="仿宋_GB2312" w:cs="仿宋_GB2312"/>
          <w:sz w:val="30"/>
          <w:szCs w:val="30"/>
        </w:rPr>
        <w:t>2022年6月成为独立预算单位，依据文件为《关于天津东疆综合保税区总工会（团委、妇联）2022年度部门中期调整预算的批复》（津东疆财预指[2022]7号）。</w:t>
      </w:r>
    </w:p>
    <w:p>
      <w:pPr>
        <w:pStyle w:val="3"/>
        <w:keepNext/>
        <w:keepLines/>
        <w:spacing w:line="560" w:lineRule="exact"/>
        <w:ind w:firstLine="602"/>
        <w:jc w:val="both"/>
        <w:rPr>
          <w:rFonts w:hAnsi="Times New Roman" w:cs="黑体"/>
          <w:b/>
          <w:bCs/>
          <w:sz w:val="30"/>
          <w:szCs w:val="30"/>
        </w:rPr>
      </w:pPr>
      <w:r>
        <w:rPr>
          <w:rFonts w:hint="eastAsia" w:hAnsi="Times New Roman" w:cs="黑体"/>
          <w:b/>
          <w:bCs/>
          <w:sz w:val="30"/>
          <w:szCs w:val="30"/>
        </w:rPr>
        <w:t>十、机关运行经费支出情况说明</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机关运行经费是指行政单位和参照公务员法管理的事业单位使用一般公共预算财政拨款安排的基本支出中的日常公用经费支出，天津东疆综合保税区总工会（团委、妇联）2022年度机关运行经费决算数12,613.72元，比2021年增加12,613.72元，增长100.00%。主要原因为</w:t>
      </w:r>
      <w:r>
        <w:rPr>
          <w:rFonts w:ascii="仿宋_GB2312" w:hAnsi="仿宋_GB2312" w:eastAsia="仿宋_GB2312" w:cs="仿宋_GB2312"/>
          <w:sz w:val="30"/>
          <w:szCs w:val="30"/>
        </w:rPr>
        <w:t>天津东疆综合保税区总工会（团委、妇联）</w:t>
      </w:r>
      <w:r>
        <w:rPr>
          <w:rFonts w:hint="eastAsia" w:ascii="仿宋_GB2312" w:hAnsi="仿宋_GB2312" w:eastAsia="仿宋_GB2312" w:cs="仿宋_GB2312"/>
          <w:sz w:val="30"/>
          <w:szCs w:val="30"/>
        </w:rPr>
        <w:t>于2022年6月成为独立预算单位，依据文件为</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关于天津东疆综合保税区总工会（团委、妇联）2022年度部门中期调整预算的批复》（津东疆财预指[2022]7号）。</w:t>
      </w:r>
    </w:p>
    <w:p>
      <w:pPr>
        <w:pStyle w:val="3"/>
        <w:keepNext/>
        <w:keepLines/>
        <w:spacing w:line="560" w:lineRule="exact"/>
        <w:ind w:firstLine="602"/>
        <w:jc w:val="both"/>
        <w:rPr>
          <w:rFonts w:hAnsi="Times New Roman" w:cs="黑体"/>
          <w:b/>
          <w:bCs/>
          <w:sz w:val="30"/>
          <w:szCs w:val="30"/>
        </w:rPr>
      </w:pPr>
      <w:r>
        <w:rPr>
          <w:rFonts w:hint="eastAsia" w:hAnsi="Times New Roman" w:cs="黑体"/>
          <w:b/>
          <w:bCs/>
          <w:sz w:val="30"/>
          <w:szCs w:val="30"/>
        </w:rPr>
        <w:t>十一、政府采购支出情况说明</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东疆综合保税区总工会（团委、妇联）2022年政府采购支出总额17,985.00元，其中：政府采购货物支出17,985.00元、政府采购工程支出0.00元、政府采购服务支出0.00元。授予中小企业合同金额17,985.00元，占政府采购支出总额的100.00%，其中：授予小微企业合同金额17,985.00元，占政府采购支出总额的100.00%；货物采购授予中小企业合同金额占货物支出金额的1</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0.00%，工程采购授予中小企业合同金额占工程支出金额的0.00%，服务采购授予中小企业合同金额占服务支出金额的0.00%。</w:t>
      </w:r>
    </w:p>
    <w:p>
      <w:pPr>
        <w:spacing w:line="560" w:lineRule="exact"/>
        <w:ind w:firstLine="600"/>
        <w:jc w:val="both"/>
        <w:rPr>
          <w:rFonts w:hAnsi="Times New Roman" w:cs="黑体"/>
          <w:b/>
          <w:bCs/>
          <w:sz w:val="30"/>
          <w:szCs w:val="30"/>
        </w:rPr>
      </w:pPr>
      <w:r>
        <w:rPr>
          <w:rFonts w:hint="eastAsia" w:hAnsi="Times New Roman" w:cs="黑体"/>
          <w:b/>
          <w:bCs/>
          <w:sz w:val="30"/>
          <w:szCs w:val="30"/>
          <w:lang w:val="zh-CN"/>
        </w:rPr>
        <w:t>十二、</w:t>
      </w:r>
      <w:r>
        <w:rPr>
          <w:rFonts w:hint="eastAsia" w:hAnsi="Times New Roman" w:cs="黑体"/>
          <w:b/>
          <w:bCs/>
          <w:sz w:val="30"/>
          <w:szCs w:val="30"/>
        </w:rPr>
        <w:t>国有资产占有使用情况说明</w:t>
      </w:r>
    </w:p>
    <w:p>
      <w:pPr>
        <w:spacing w:line="560" w:lineRule="exact"/>
        <w:ind w:firstLine="6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天津东疆综合保税区总工会（团委、妇联）2022年度无国有资产占有使用情况。</w:t>
      </w:r>
    </w:p>
    <w:p>
      <w:pPr>
        <w:spacing w:line="560" w:lineRule="exact"/>
        <w:ind w:firstLine="600"/>
        <w:jc w:val="both"/>
        <w:rPr>
          <w:rFonts w:hAnsi="Times New Roman" w:cs="黑体"/>
          <w:b/>
          <w:bCs/>
          <w:sz w:val="30"/>
          <w:szCs w:val="30"/>
        </w:rPr>
      </w:pPr>
      <w:r>
        <w:rPr>
          <w:rFonts w:hint="eastAsia" w:hAnsi="Times New Roman" w:cs="黑体"/>
          <w:b/>
          <w:bCs/>
          <w:sz w:val="30"/>
          <w:szCs w:val="30"/>
          <w:lang w:val="zh-CN"/>
        </w:rPr>
        <w:t>十三、</w:t>
      </w:r>
      <w:r>
        <w:rPr>
          <w:rFonts w:hint="eastAsia" w:hAnsi="Times New Roman" w:cs="黑体"/>
          <w:b/>
          <w:bCs/>
          <w:sz w:val="30"/>
          <w:szCs w:val="30"/>
        </w:rPr>
        <w:t>预算绩效情况说明</w:t>
      </w:r>
    </w:p>
    <w:p>
      <w:pPr>
        <w:spacing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根据预算绩效管理要求，天津东疆综合保税区总工会（团委、妇联）2022年度已对</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个项目开展绩效自评，涉及金额2161149.15元，自评结果已随部门决算一并公开。</w:t>
      </w:r>
    </w:p>
    <w:p>
      <w:pPr>
        <w:spacing w:line="560" w:lineRule="exact"/>
        <w:ind w:firstLine="600"/>
        <w:rPr>
          <w:rFonts w:hAnsi="Times New Roman" w:cs="黑体"/>
          <w:b/>
          <w:bCs/>
          <w:sz w:val="30"/>
          <w:szCs w:val="30"/>
        </w:rPr>
      </w:pPr>
      <w:r>
        <w:rPr>
          <w:rFonts w:hint="eastAsia" w:hAnsi="Times New Roman" w:cs="黑体"/>
          <w:b/>
          <w:bCs/>
          <w:sz w:val="30"/>
          <w:szCs w:val="30"/>
          <w:lang w:val="zh-CN"/>
        </w:rPr>
        <w:t>十四、</w:t>
      </w:r>
      <w:r>
        <w:rPr>
          <w:rFonts w:hint="eastAsia" w:hAnsi="Times New Roman" w:cs="黑体"/>
          <w:b/>
          <w:bCs/>
          <w:sz w:val="30"/>
          <w:szCs w:val="30"/>
        </w:rPr>
        <w:t>教育、医疗卫生、社会保障和就业、住房保障、涉农补贴等民生支出情况说明</w:t>
      </w:r>
    </w:p>
    <w:p>
      <w:pPr>
        <w:spacing w:line="560" w:lineRule="exact"/>
        <w:ind w:firstLine="602"/>
        <w:jc w:val="both"/>
        <w:rPr>
          <w:rFonts w:ascii="仿宋_GB2312" w:hAnsi="仿宋_GB2312" w:eastAsia="仿宋_GB2312" w:cs="仿宋_GB2312"/>
          <w:sz w:val="30"/>
          <w:szCs w:val="30"/>
        </w:rPr>
      </w:pPr>
      <w:r>
        <w:rPr>
          <w:rFonts w:ascii="仿宋_GB2312" w:hAnsi="仿宋_GB2312" w:eastAsia="仿宋_GB2312" w:cs="仿宋_GB2312"/>
          <w:sz w:val="30"/>
          <w:szCs w:val="30"/>
        </w:rPr>
        <w:t>天津东疆综合保税区总工会（团委、妇联）</w:t>
      </w:r>
      <w:r>
        <w:rPr>
          <w:rFonts w:hint="eastAsia" w:ascii="仿宋_GB2312" w:hAnsi="仿宋_GB2312" w:eastAsia="仿宋_GB2312" w:cs="仿宋_GB2312"/>
          <w:sz w:val="30"/>
          <w:szCs w:val="30"/>
        </w:rPr>
        <w:t>不属于乡、镇、街级单位，不涉及公开2022年度教育、医疗卫生、社会保障和就业、住房保障、涉农补贴等民生支出情况。</w:t>
      </w: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spacing w:line="560" w:lineRule="exact"/>
        <w:rPr>
          <w:rFonts w:ascii="仿宋_GB2312" w:hAnsi="Times New Roman" w:eastAsia="仿宋_GB2312" w:cs="仿宋_GB2312"/>
          <w:b/>
          <w:bCs/>
          <w:color w:val="000000"/>
          <w:sz w:val="30"/>
          <w:szCs w:val="30"/>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第四部分名词解释</w:t>
      </w:r>
    </w:p>
    <w:p>
      <w:pPr>
        <w:spacing w:line="600" w:lineRule="exact"/>
        <w:ind w:firstLine="600"/>
        <w:rPr>
          <w:rFonts w:ascii="仿宋_GB2312" w:hAnsi="Times New Roman" w:eastAsia="仿宋_GB2312" w:cs="仿宋_GB2312"/>
          <w:sz w:val="30"/>
          <w:szCs w:val="30"/>
        </w:rPr>
      </w:pPr>
    </w:p>
    <w:p>
      <w:pPr>
        <w:spacing w:line="600" w:lineRule="exact"/>
        <w:ind w:firstLine="6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ascii="仿宋_GB2312" w:hAnsi="Times New Roman" w:eastAsia="仿宋_GB2312" w:cs="楷体"/>
          <w:sz w:val="30"/>
          <w:szCs w:val="30"/>
        </w:rPr>
      </w:pP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720"/>
  <w:drawingGridHorizontalSpacing w:val="120"/>
  <w:drawingGridVerticalSpacing w:val="120"/>
  <w:doNotUseMarginsForDrawingGridOrigin w:val="true"/>
  <w:drawingGridHorizontalOrigin w:val="1800"/>
  <w:drawingGridVerticalOrigin w:val="1440"/>
  <w:doNotShadeFormData w:val="true"/>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Y2Q0NmY0OWEzODFmMjAwYmU5NzU2Nzk1ZDIwMzUifQ=="/>
  </w:docVars>
  <w:rsids>
    <w:rsidRoot w:val="00276EAC"/>
    <w:rsid w:val="000328E4"/>
    <w:rsid w:val="000638F2"/>
    <w:rsid w:val="00083CEA"/>
    <w:rsid w:val="00106FEB"/>
    <w:rsid w:val="001A5B7E"/>
    <w:rsid w:val="001A785A"/>
    <w:rsid w:val="001C70AE"/>
    <w:rsid w:val="001D2450"/>
    <w:rsid w:val="001F545F"/>
    <w:rsid w:val="002058D0"/>
    <w:rsid w:val="00276EAC"/>
    <w:rsid w:val="00403015"/>
    <w:rsid w:val="004E50F7"/>
    <w:rsid w:val="00514AA3"/>
    <w:rsid w:val="00580FAC"/>
    <w:rsid w:val="005C3B73"/>
    <w:rsid w:val="006E4B27"/>
    <w:rsid w:val="006F0243"/>
    <w:rsid w:val="007E51E9"/>
    <w:rsid w:val="0094450D"/>
    <w:rsid w:val="00A05638"/>
    <w:rsid w:val="00A275ED"/>
    <w:rsid w:val="00CD36BC"/>
    <w:rsid w:val="00CF177F"/>
    <w:rsid w:val="00E378C9"/>
    <w:rsid w:val="00F57062"/>
    <w:rsid w:val="00F8771C"/>
    <w:rsid w:val="5FEA022D"/>
    <w:rsid w:val="671F3576"/>
    <w:rsid w:val="73159211"/>
    <w:rsid w:val="8FF9EC81"/>
    <w:rsid w:val="EFF3F65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cs="Times New Roman" w:hAnsiTheme="minorHAnsi"/>
      <w:sz w:val="24"/>
      <w:szCs w:val="24"/>
      <w:lang w:val="en-US" w:eastAsia="zh-CN" w:bidi="ar-SA"/>
    </w:rPr>
  </w:style>
  <w:style w:type="paragraph" w:styleId="2">
    <w:name w:val="heading 1"/>
    <w:basedOn w:val="1"/>
    <w:next w:val="1"/>
    <w:link w:val="9"/>
    <w:qFormat/>
    <w:uiPriority w:val="99"/>
    <w:pPr>
      <w:outlineLvl w:val="0"/>
    </w:pPr>
  </w:style>
  <w:style w:type="paragraph" w:styleId="3">
    <w:name w:val="heading 2"/>
    <w:basedOn w:val="1"/>
    <w:next w:val="1"/>
    <w:link w:val="10"/>
    <w:qFormat/>
    <w:uiPriority w:val="99"/>
    <w:pPr>
      <w:outlineLvl w:val="1"/>
    </w:p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
    <w:rPr>
      <w:rFonts w:ascii="黑体" w:eastAsia="黑体" w:cs="Times New Roman"/>
      <w:b/>
      <w:bCs/>
      <w:kern w:val="44"/>
      <w:sz w:val="44"/>
      <w:szCs w:val="44"/>
    </w:rPr>
  </w:style>
  <w:style w:type="character" w:customStyle="1" w:styleId="10">
    <w:name w:val="标题 2 Char"/>
    <w:basedOn w:val="8"/>
    <w:link w:val="3"/>
    <w:semiHidden/>
    <w:qFormat/>
    <w:uiPriority w:val="9"/>
    <w:rPr>
      <w:rFonts w:cs="Times New Roman" w:asciiTheme="majorHAnsi" w:hAnsiTheme="majorHAnsi" w:eastAsiaTheme="majorEastAsia"/>
      <w:b/>
      <w:bCs/>
      <w:kern w:val="0"/>
      <w:sz w:val="32"/>
      <w:szCs w:val="32"/>
    </w:rPr>
  </w:style>
  <w:style w:type="character" w:customStyle="1" w:styleId="11">
    <w:name w:val="页眉 Char"/>
    <w:basedOn w:val="8"/>
    <w:link w:val="6"/>
    <w:qFormat/>
    <w:uiPriority w:val="99"/>
    <w:rPr>
      <w:rFonts w:ascii="黑体" w:eastAsia="黑体" w:cs="Times New Roman"/>
      <w:kern w:val="0"/>
      <w:sz w:val="18"/>
      <w:szCs w:val="18"/>
    </w:rPr>
  </w:style>
  <w:style w:type="character" w:customStyle="1" w:styleId="12">
    <w:name w:val="页脚 Char"/>
    <w:basedOn w:val="8"/>
    <w:link w:val="5"/>
    <w:qFormat/>
    <w:uiPriority w:val="99"/>
    <w:rPr>
      <w:rFonts w:ascii="黑体" w:eastAsia="黑体" w:cs="Times New Roman"/>
      <w:kern w:val="0"/>
      <w:sz w:val="18"/>
      <w:szCs w:val="18"/>
    </w:rPr>
  </w:style>
  <w:style w:type="character" w:customStyle="1" w:styleId="13">
    <w:name w:val="批注框文本 Char"/>
    <w:basedOn w:val="8"/>
    <w:link w:val="4"/>
    <w:semiHidden/>
    <w:qFormat/>
    <w:uiPriority w:val="99"/>
    <w:rPr>
      <w:rFonts w:ascii="黑体" w:eastAsia="黑体" w:hAnsiTheme="minorHAns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4669</Words>
  <Characters>923</Characters>
  <Lines>7</Lines>
  <Paragraphs>11</Paragraphs>
  <TotalTime>2</TotalTime>
  <ScaleCrop>false</ScaleCrop>
  <LinksUpToDate>false</LinksUpToDate>
  <CharactersWithSpaces>5581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2023-08-15T08:41:00Z</dcterms:created>
  <dc:creator>rui chen</dc:creator>
  <cp:lastModifiedBy>greatwall</cp:lastModifiedBy>
  <cp:lastPrinted>2023-08-21T15:50:00Z</cp:lastPrinted>
  <dcterms:modified xsi:type="dcterms:W3CDTF">2023-09-20T10:38:16Z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204CF32E3CD94A5EA865BF37854F8234_12</vt:lpwstr>
  </property>
</Properties>
</file>